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参加</w:t>
      </w:r>
      <w:r>
        <w:rPr>
          <w:rFonts w:ascii="Times New Roman" w:hAnsi="Times New Roman" w:eastAsia="华文中宋" w:cs="Times New Roman"/>
          <w:sz w:val="36"/>
          <w:szCs w:val="36"/>
        </w:rPr>
        <w:t>学校活动人员</w:t>
      </w:r>
      <w:r>
        <w:rPr>
          <w:rFonts w:hint="eastAsia" w:ascii="Times New Roman" w:hAnsi="华文中宋" w:eastAsia="华文中宋" w:cs="华文中宋"/>
          <w:sz w:val="36"/>
          <w:szCs w:val="36"/>
        </w:rPr>
        <w:t>新冠肺炎疫情防控健康登记表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姓名：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朱崽崽</cp:lastModifiedBy>
  <dcterms:modified xsi:type="dcterms:W3CDTF">2020-12-08T08:10:31Z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